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新右旗统计局                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default"/>
          <w:sz w:val="24"/>
          <w:szCs w:val="24"/>
          <w:lang w:val="en-US"/>
        </w:rPr>
        <w:t>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default"/>
          <w:sz w:val="24"/>
          <w:szCs w:val="24"/>
          <w:lang w:val="en-US" w:eastAsia="zh-CN"/>
        </w:rPr>
        <w:t>9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D2C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eastAsia="zh-CN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新巴尔虎右旗召开全旗统计违纪违法案件警示教育会</w:t>
            </w:r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阿云嘎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15847121097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position w:val="-8"/>
                <w:lang w:val="en-US" w:eastAsia="zh-CN"/>
              </w:rPr>
              <w:t xml:space="preserve">  </w:t>
            </w:r>
            <w:r>
              <w:rPr>
                <w:position w:val="-8"/>
              </w:rPr>
              <w:drawing>
                <wp:inline distT="0" distB="0" distL="0" distR="0">
                  <wp:extent cx="434340" cy="257175"/>
                  <wp:effectExtent l="0" t="0" r="3810" b="9525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33" cy="257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eastAsia="zh-CN"/>
              </w:rPr>
            </w:pPr>
            <w:r>
              <w:rPr>
                <w:rFonts w:hint="eastAsia" w:eastAsiaTheme="minorEastAsia"/>
                <w:sz w:val="20"/>
                <w:szCs w:val="21"/>
                <w:lang w:eastAsia="zh-CN"/>
              </w:rPr>
              <w:drawing>
                <wp:inline distT="0" distB="0" distL="114300" distR="114300">
                  <wp:extent cx="412750" cy="906145"/>
                  <wp:effectExtent l="0" t="0" r="8255" b="6350"/>
                  <wp:docPr id="9" name="图片 9" descr="微信图片_20260528170751_1748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微信图片_20260528170751_1748_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lum bright="-12000" contrast="36000"/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2750" cy="90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29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eastAsia="zh-CN"/>
              </w:rPr>
            </w:pPr>
            <w:r>
              <w:rPr>
                <w:rFonts w:hint="eastAsia" w:eastAsiaTheme="minorEastAsia"/>
                <w:sz w:val="20"/>
                <w:szCs w:val="21"/>
                <w:lang w:eastAsia="zh-CN"/>
              </w:rPr>
              <w:drawing>
                <wp:inline distT="0" distB="0" distL="114300" distR="114300">
                  <wp:extent cx="280670" cy="1180465"/>
                  <wp:effectExtent l="0" t="0" r="635" b="5080"/>
                  <wp:docPr id="3" name="图片 3" descr="微信图片_20260528115205_177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60528115205_177_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lum bright="-12000" contrast="94000"/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80670" cy="11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6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29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5BFAA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20" w:afterAutospacing="0"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color w:val="auto"/>
                <w:sz w:val="44"/>
                <w:szCs w:val="44"/>
                <w:highlight w:val="none"/>
                <w:shd w:val="clear" w:color="auto" w:fill="FFFFFF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auto"/>
                <w:sz w:val="44"/>
                <w:szCs w:val="44"/>
                <w:highlight w:val="none"/>
                <w:shd w:val="clear" w:color="auto" w:fill="FFFFFF"/>
                <w:lang w:val="en-US" w:eastAsia="zh-CN"/>
              </w:rPr>
              <w:t>2026年1—5月新右旗规模以上</w:t>
            </w:r>
            <w:r>
              <w:rPr>
                <w:rFonts w:hint="eastAsia" w:ascii="方正小标宋_GBK" w:hAnsi="方正小标宋_GBK" w:eastAsia="方正小标宋_GBK" w:cs="方正小标宋_GBK"/>
                <w:color w:val="auto"/>
                <w:sz w:val="44"/>
                <w:szCs w:val="44"/>
                <w:highlight w:val="none"/>
                <w:shd w:val="clear" w:color="auto" w:fill="FFFFFF"/>
              </w:rPr>
              <w:t>工业</w:t>
            </w:r>
          </w:p>
          <w:p w14:paraId="565EECD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20" w:afterAutospacing="0" w:line="560" w:lineRule="exact"/>
              <w:ind w:left="0" w:leftChars="0" w:firstLine="0" w:firstLineChars="0"/>
              <w:jc w:val="center"/>
              <w:textAlignment w:val="auto"/>
              <w:rPr>
                <w:rFonts w:hint="default" w:ascii="方正小标宋_GBK" w:hAnsi="方正小标宋_GBK" w:eastAsia="方正小标宋_GBK" w:cs="方正小标宋_GBK"/>
                <w:color w:val="auto"/>
                <w:sz w:val="44"/>
                <w:szCs w:val="4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auto"/>
                <w:sz w:val="44"/>
                <w:szCs w:val="44"/>
                <w:highlight w:val="none"/>
                <w:shd w:val="clear" w:color="auto" w:fill="FFFFFF"/>
                <w:lang w:val="en-US" w:eastAsia="zh-CN"/>
              </w:rPr>
              <w:t>稳中有进 整体向好</w:t>
            </w:r>
          </w:p>
          <w:p w14:paraId="62248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—5月份，新右旗规模以上工业增加值同比增长12.8%。工业经济稳步增长，较上年末回升15.3个百分点，同比提升10个百分点。同时，本期增速高于全市规模以上工业增加值增速平均水平16.4个百分点，位居全市第3位。</w:t>
            </w:r>
          </w:p>
          <w:p w14:paraId="3A37F4FB">
            <w:pPr>
              <w:pStyle w:val="2"/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5614035" cy="3773805"/>
                  <wp:effectExtent l="4445" t="4445" r="20320" b="12700"/>
                  <wp:docPr id="1" name="图表 1" descr="7b0a202020202263686172745265734964223a202237313437313430220a7d0a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14:paraId="03A4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yellow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从三大门类来看，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采矿业增加值同比增长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2.94%，拉动整体增加值增速12.76个百分点；电力、热力、燃气及水生产和供应业增加值同比增长45.66%，拉动整体增加值0.19个百分点；制造业增加值同比下降25.88%，下拉整体增加值0.15个百分点。</w:t>
            </w:r>
          </w:p>
          <w:p w14:paraId="661C1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从在统的6个工业行业大类来看，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有色金属矿采选业增加值增长14.76%，是主要拉动因素，拉动整体增加值增速14.09个百分点；其次，非金属矿业制品业和电力、热力生产及供应业合计拉动整体增加值增速0.29个百分点；另有，农副产品加工业、化学原料和化学制品制造业、煤炭开采和选洗业分别下降93.85%、25.88%、42.32%，三项合计下拉整体增加值增速1.58个百分点。</w:t>
            </w:r>
          </w:p>
          <w:p w14:paraId="002E3A44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从在产工业产品产量来看，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6种在统的重点产品产量增长面为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66.7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%。其中，铅精矿粉下降11.4%，铜精矿粉下降5.5%；发电量增长7.2%，原煤增长9.9%；黄金、白银产量均有不同程度增长（上年同期空白）。</w:t>
            </w:r>
          </w:p>
          <w:p w14:paraId="229D3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default" w:ascii="方正仿宋_GBK" w:hAnsi="方正仿宋_GBK" w:eastAsia="方正仿宋_GBK" w:cs="方正仿宋_GBK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从企业生产效益情况来看，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1—5月份，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全旗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规模以上工业企业营业成本11.1亿元，同比下降5.1%；实现利润总额21.5亿元，同比增长65.4%；营业收入38.8亿元，同比增长27.6%；每百元营业收入中的成本28.61元，同比下降25.7%；营业收入利润率55.41%，同比回升12.65个百分点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,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企业盈利能力显著提升，利润增幅继续扩大。</w:t>
            </w:r>
          </w:p>
          <w:p w14:paraId="6961BB47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1470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60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从能源消耗情况来看，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highlight w:val="none"/>
                <w:lang w:val="en-US" w:eastAsia="zh-CN"/>
              </w:rPr>
              <w:t>规模以上工业企业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累计综合能源消费量同比增长0.6%，增幅环比收窄1.7个百分点。</w:t>
            </w:r>
          </w:p>
          <w:p w14:paraId="7AEBF6FD">
            <w:pPr>
              <w:pStyle w:val="2"/>
              <w:jc w:val="center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inline distT="0" distB="0" distL="114300" distR="114300">
                  <wp:extent cx="5226685" cy="3371215"/>
                  <wp:effectExtent l="4445" t="4445" r="7620" b="53340"/>
                  <wp:docPr id="4" name="图表 1" descr="7b0a202020202263686172745265734964223a20223230343638353536220a7d0a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auto"/>
    <w:pitch w:val="default"/>
    <w:sig w:usb0="00000000" w:usb1="00000000" w:usb2="00000000" w:usb3="00000000" w:csb0="0000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3174"/>
    <w:rsid w:val="16AF0BB7"/>
    <w:rsid w:val="29DE012F"/>
    <w:rsid w:val="37F4416E"/>
    <w:rsid w:val="46AF5F55"/>
    <w:rsid w:val="5ADEF67E"/>
    <w:rsid w:val="630D1292"/>
    <w:rsid w:val="6D222AAF"/>
    <w:rsid w:val="7BE10D73"/>
    <w:rsid w:val="7BFE2C20"/>
    <w:rsid w:val="7F658200"/>
    <w:rsid w:val="7FEF5C45"/>
    <w:rsid w:val="DFF1E642"/>
    <w:rsid w:val="F1FF6297"/>
    <w:rsid w:val="FEFB51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（市）正文"/>
    <w:basedOn w:val="1"/>
    <w:autoRedefine/>
    <w:qFormat/>
    <w:uiPriority w:val="0"/>
    <w:pPr>
      <w:widowControl/>
      <w:shd w:val="clear" w:color="auto" w:fill="FFFFFF"/>
      <w:spacing w:line="240" w:lineRule="auto"/>
      <w:ind w:firstLine="880" w:firstLineChars="200"/>
      <w:jc w:val="both"/>
      <w:outlineLvl w:val="9"/>
    </w:pPr>
    <w:rPr>
      <w:rFonts w:hint="eastAsia" w:ascii="仿宋_GB2312" w:hAnsi="仿宋_GB2312" w:eastAsia="仿宋_GB2312" w:cs="方正小标宋简体"/>
      <w:color w:val="000000" w:themeColor="text1"/>
      <w:kern w:val="36"/>
      <w:sz w:val="32"/>
      <w:szCs w:val="44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hart" Target="charts/chart2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oleObject" Target="/data/usershare/2026/26_&#25968;&#25454;&#20998;&#26512;&#65288;&#35299;&#35835;&#12289;&#27719;&#25253;&#12289;&#31616;&#25253;&#65289;/&#33609;&#31295;&#21306;/&#22686;&#21152;&#20540;&#22686;&#36895;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2.xml"/><Relationship Id="rId1" Type="http://schemas.openxmlformats.org/officeDocument/2006/relationships/oleObject" Target="/data/usershare/2026/26_&#33021;&#28304;/&#33021;&#28304;&#20135;&#12289;&#38144;&#12289;&#23384;&#26376;&#25253;&#65288;&#27719;&#24635;&#24615;&#25968;&#25454;&#65289;/2026&#24180;1&#8212;5&#26376;&#35268;&#19978;&#24037;&#19994;.et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08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sz="1080"/>
              <a:t>202</a:t>
            </a:r>
            <a:r>
              <a:rPr lang="en-US" altLang="zh-CN" sz="1080"/>
              <a:t>5</a:t>
            </a:r>
            <a:r>
              <a:rPr sz="1080"/>
              <a:t>年</a:t>
            </a:r>
            <a:r>
              <a:rPr lang="en-US" altLang="zh-CN" sz="1080"/>
              <a:t>5</a:t>
            </a:r>
            <a:r>
              <a:rPr altLang="en-US" sz="1080"/>
              <a:t>月</a:t>
            </a:r>
            <a:r>
              <a:rPr lang="en-US" altLang="zh-CN" sz="1080"/>
              <a:t>—2026</a:t>
            </a:r>
            <a:r>
              <a:rPr altLang="en-US" sz="1080"/>
              <a:t>年</a:t>
            </a:r>
            <a:r>
              <a:rPr lang="en-US" altLang="zh-CN" sz="1080"/>
              <a:t>5</a:t>
            </a:r>
            <a:r>
              <a:rPr altLang="en-US" sz="1080"/>
              <a:t>月</a:t>
            </a:r>
            <a:r>
              <a:rPr sz="1080"/>
              <a:t>新右旗规模以上工业</a:t>
            </a:r>
            <a:endParaRPr sz="1080"/>
          </a:p>
          <a:p>
            <a:pPr defTabSz="914400">
              <a:defRPr lang="zh-CN" sz="108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sz="1080"/>
              <a:t>增加值累计增速走势</a:t>
            </a:r>
            <a:r>
              <a:rPr lang="en-US" altLang="zh-CN" sz="1080"/>
              <a:t>                  </a:t>
            </a:r>
            <a:endParaRPr lang="en-US" altLang="zh-CN" sz="1080"/>
          </a:p>
        </c:rich>
      </c:tx>
      <c:layout>
        <c:manualLayout>
          <c:xMode val="edge"/>
          <c:yMode val="edge"/>
          <c:x val="0.255723594105424"/>
          <c:y val="0.0128561826543707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0860433495960969"/>
          <c:y val="0.117888022295717"/>
          <c:w val="0.894041430056786"/>
          <c:h val="0.652180290705427"/>
        </c:manualLayout>
      </c:layout>
      <c:lineChart>
        <c:grouping val="standard"/>
        <c:varyColors val="0"/>
        <c:ser>
          <c:idx val="0"/>
          <c:order val="0"/>
          <c:tx>
            <c:strRef>
              <c:f>[增加值增速.xlsx]月度累计增速!$D$30</c:f>
              <c:strCache>
                <c:ptCount val="1"/>
                <c:pt idx="0">
                  <c:v>全市</c:v>
                </c:pt>
              </c:strCache>
            </c:strRef>
          </c:tx>
          <c:spPr>
            <a:ln w="28575" cap="rnd">
              <a:solidFill>
                <a:srgbClr val="EE822F"/>
              </a:solidFill>
              <a:round/>
            </a:ln>
            <a:effectLst>
              <a:outerShdw blurRad="50800" dist="25400" dir="5400000" algn="t" rotWithShape="0">
                <a:srgbClr val="4874CB">
                  <a:lumMod val="50000"/>
                  <a:alpha val="30000"/>
                </a:srgbClr>
              </a:outerShdw>
            </a:effectLst>
          </c:spPr>
          <c:marker>
            <c:symbol val="triangle"/>
            <c:size val="6"/>
            <c:spPr>
              <a:solidFill>
                <a:srgbClr val="EE822F"/>
              </a:solidFill>
              <a:ln w="9525">
                <a:solidFill>
                  <a:srgbClr val="EE822F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0.00884848677480244"/>
                  <c:y val="0.0776187298054134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0.000906478166605604"/>
                  <c:y val="0.0733877746420657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0.0105451274263124"/>
                  <c:y val="0.0886304997472108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00819097644374814"/>
                  <c:y val="0.0213862025367533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0.00371530584202178"/>
                  <c:y val="0.0204367595828464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0.000468137945902707"/>
                  <c:y val="0.0224483918414367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-0.00115544600215683"/>
                  <c:y val="0.00893069778518695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0" i="0" u="none" strike="noStrike" kern="1200" baseline="0">
                    <a:solidFill>
                      <a:sysClr val="windowText" lastClr="000000">
                        <a:lumMod val="75000"/>
                        <a:lumOff val="2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ysClr val="windowText" lastClr="000000">
                          <a:lumMod val="35000"/>
                          <a:lumOff val="65000"/>
                        </a:sys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trendline>
            <c:spPr>
              <a:ln w="19050" cap="rnd">
                <a:noFill/>
                <a:prstDash val="sysDot"/>
              </a:ln>
              <a:effectLst/>
            </c:spPr>
            <c:name>线性趋势</c:name>
            <c:trendlineType val="linear"/>
            <c:dispRSqr val="0"/>
            <c:dispEq val="0"/>
          </c:trendline>
          <c:cat>
            <c:numRef>
              <c:f>[增加值增速.xlsx]月度累计增速!$C$31:$C$42</c:f>
              <c:numCache>
                <c:formatCode>yyyy"年"m"月"</c:formatCode>
                <c:ptCount val="12"/>
                <c:pt idx="0" c:formatCode="yyyy&quot;年&quot;m&quot;月&quot;">
                  <c:v>45778</c:v>
                </c:pt>
                <c:pt idx="1" c:formatCode="yyyy&quot;年&quot;m&quot;月&quot;">
                  <c:v>45809</c:v>
                </c:pt>
                <c:pt idx="2" c:formatCode="yyyy&quot;年&quot;m&quot;月&quot;">
                  <c:v>45839</c:v>
                </c:pt>
                <c:pt idx="3" c:formatCode="yyyy&quot;年&quot;m&quot;月&quot;">
                  <c:v>45870</c:v>
                </c:pt>
                <c:pt idx="4" c:formatCode="yyyy&quot;年&quot;m&quot;月&quot;">
                  <c:v>45901</c:v>
                </c:pt>
                <c:pt idx="5" c:formatCode="yyyy&quot;年&quot;m&quot;月&quot;">
                  <c:v>45931</c:v>
                </c:pt>
                <c:pt idx="6" c:formatCode="yyyy&quot;年&quot;m&quot;月&quot;">
                  <c:v>45962</c:v>
                </c:pt>
                <c:pt idx="7" c:formatCode="yyyy&quot;年&quot;m&quot;月&quot;">
                  <c:v>45992</c:v>
                </c:pt>
                <c:pt idx="8" c:formatCode="yyyy&quot;年&quot;m&quot;月&quot;">
                  <c:v>46054</c:v>
                </c:pt>
                <c:pt idx="9" c:formatCode="yyyy&quot;年&quot;m&quot;月&quot;">
                  <c:v>46082</c:v>
                </c:pt>
                <c:pt idx="10" c:formatCode="yyyy&quot;年&quot;m&quot;月&quot;">
                  <c:v>46113</c:v>
                </c:pt>
                <c:pt idx="11" c:formatCode="yyyy&quot;年&quot;m&quot;月&quot;">
                  <c:v>46143</c:v>
                </c:pt>
              </c:numCache>
            </c:numRef>
          </c:cat>
          <c:val>
            <c:numRef>
              <c:f>[增加值增速.xlsx]月度累计增速!$D$31:$D$42</c:f>
              <c:numCache>
                <c:formatCode>General</c:formatCode>
                <c:ptCount val="12"/>
                <c:pt idx="0">
                  <c:v>-0.8</c:v>
                </c:pt>
                <c:pt idx="1">
                  <c:v>-1.7</c:v>
                </c:pt>
                <c:pt idx="2">
                  <c:v>0.5</c:v>
                </c:pt>
                <c:pt idx="3">
                  <c:v>0.9</c:v>
                </c:pt>
                <c:pt idx="4">
                  <c:v>0.1</c:v>
                </c:pt>
                <c:pt idx="5">
                  <c:v>-0.2</c:v>
                </c:pt>
                <c:pt idx="6">
                  <c:v>0.1</c:v>
                </c:pt>
                <c:pt idx="7">
                  <c:v>0.6</c:v>
                </c:pt>
                <c:pt idx="8">
                  <c:v>-2.8</c:v>
                </c:pt>
                <c:pt idx="9">
                  <c:v>-2.6</c:v>
                </c:pt>
                <c:pt idx="10">
                  <c:v>-2.9</c:v>
                </c:pt>
                <c:pt idx="11">
                  <c:v>-3.6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[增加值增速.xlsx]月度累计增速!$E$30</c:f>
              <c:strCache>
                <c:ptCount val="1"/>
                <c:pt idx="0">
                  <c:v>新右旗</c:v>
                </c:pt>
              </c:strCache>
            </c:strRef>
          </c:tx>
          <c:spPr>
            <a:ln w="28575" cap="rnd">
              <a:solidFill>
                <a:srgbClr val="4874CB"/>
              </a:solidFill>
              <a:round/>
            </a:ln>
            <a:effectLst>
              <a:outerShdw blurRad="50800" dist="25400" dir="5400000" algn="t" rotWithShape="0">
                <a:srgbClr val="EE822F">
                  <a:lumMod val="50000"/>
                  <a:alpha val="30000"/>
                </a:srgbClr>
              </a:outerShdw>
            </a:effectLst>
          </c:spPr>
          <c:marker>
            <c:symbol val="circle"/>
            <c:size val="6"/>
            <c:spPr>
              <a:solidFill>
                <a:srgbClr val="4874CB"/>
              </a:solidFill>
              <a:ln w="9525">
                <a:solidFill>
                  <a:srgbClr val="4874CB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0.0196425820366662"/>
                  <c:y val="0.0142891164562991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0.0147285712142369"/>
                  <c:y val="0.0797472741097192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588168759190137"/>
                      <c:h val="0.048784752579122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0.0203596878181201"/>
                  <c:y val="0.081604496078721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0.0203596878181201"/>
                  <c:y val="0.078981659918553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0.0034663380064705"/>
                  <c:y val="0.0142891164562991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0.0101798439090601"/>
                  <c:y val="0.0132408151312198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0.00462178400862733"/>
                  <c:y val="0.0107168373422243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900" b="0" i="0" u="none" strike="noStrike" kern="1200" baseline="0">
                    <a:solidFill>
                      <a:sysClr val="windowText" lastClr="000000">
                        <a:lumMod val="75000"/>
                        <a:lumOff val="2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ysClr val="windowText" lastClr="000000">
                          <a:lumMod val="35000"/>
                          <a:lumOff val="65000"/>
                        </a:sys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[增加值增速.xlsx]月度累计增速!$C$31:$C$42</c:f>
              <c:numCache>
                <c:formatCode>yyyy"年"m"月"</c:formatCode>
                <c:ptCount val="12"/>
                <c:pt idx="0" c:formatCode="yyyy&quot;年&quot;m&quot;月&quot;">
                  <c:v>45778</c:v>
                </c:pt>
                <c:pt idx="1" c:formatCode="yyyy&quot;年&quot;m&quot;月&quot;">
                  <c:v>45809</c:v>
                </c:pt>
                <c:pt idx="2" c:formatCode="yyyy&quot;年&quot;m&quot;月&quot;">
                  <c:v>45839</c:v>
                </c:pt>
                <c:pt idx="3" c:formatCode="yyyy&quot;年&quot;m&quot;月&quot;">
                  <c:v>45870</c:v>
                </c:pt>
                <c:pt idx="4" c:formatCode="yyyy&quot;年&quot;m&quot;月&quot;">
                  <c:v>45901</c:v>
                </c:pt>
                <c:pt idx="5" c:formatCode="yyyy&quot;年&quot;m&quot;月&quot;">
                  <c:v>45931</c:v>
                </c:pt>
                <c:pt idx="6" c:formatCode="yyyy&quot;年&quot;m&quot;月&quot;">
                  <c:v>45962</c:v>
                </c:pt>
                <c:pt idx="7" c:formatCode="yyyy&quot;年&quot;m&quot;月&quot;">
                  <c:v>45992</c:v>
                </c:pt>
                <c:pt idx="8" c:formatCode="yyyy&quot;年&quot;m&quot;月&quot;">
                  <c:v>46054</c:v>
                </c:pt>
                <c:pt idx="9" c:formatCode="yyyy&quot;年&quot;m&quot;月&quot;">
                  <c:v>46082</c:v>
                </c:pt>
                <c:pt idx="10" c:formatCode="yyyy&quot;年&quot;m&quot;月&quot;">
                  <c:v>46113</c:v>
                </c:pt>
                <c:pt idx="11" c:formatCode="yyyy&quot;年&quot;m&quot;月&quot;">
                  <c:v>46143</c:v>
                </c:pt>
              </c:numCache>
            </c:numRef>
          </c:cat>
          <c:val>
            <c:numRef>
              <c:f>[增加值增速.xlsx]月度累计增速!$E$31:$E$42</c:f>
              <c:numCache>
                <c:formatCode>General</c:formatCode>
                <c:ptCount val="12"/>
                <c:pt idx="0">
                  <c:v>2.8</c:v>
                </c:pt>
                <c:pt idx="1">
                  <c:v>-0.4</c:v>
                </c:pt>
                <c:pt idx="2">
                  <c:v>0.8</c:v>
                </c:pt>
                <c:pt idx="3">
                  <c:v>-7.7</c:v>
                </c:pt>
                <c:pt idx="4">
                  <c:v>-9.9</c:v>
                </c:pt>
                <c:pt idx="5">
                  <c:v>-4.1</c:v>
                </c:pt>
                <c:pt idx="6" c:formatCode="0.0_ ">
                  <c:v>-3</c:v>
                </c:pt>
                <c:pt idx="7">
                  <c:v>-2.5</c:v>
                </c:pt>
                <c:pt idx="8">
                  <c:v>24.5</c:v>
                </c:pt>
                <c:pt idx="9" c:formatCode="0.0_ ">
                  <c:v>13</c:v>
                </c:pt>
                <c:pt idx="10">
                  <c:v>15.8</c:v>
                </c:pt>
                <c:pt idx="11">
                  <c:v>12.8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97678092"/>
        <c:axId val="86447803"/>
      </c:lineChart>
      <c:dateAx>
        <c:axId val="497678092"/>
        <c:scaling>
          <c:orientation val="minMax"/>
        </c:scaling>
        <c:delete val="0"/>
        <c:axPos val="b"/>
        <c:title>
          <c:tx>
            <c:rich>
              <a:bodyPr rot="0" spcFirstLastPara="0" vertOverflow="ellipsis" vert="horz" wrap="square" anchor="ctr" anchorCtr="1"/>
              <a:lstStyle/>
              <a:p>
                <a:pPr>
                  <a:defRPr lang="zh-CN" sz="9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altLang="en-US" sz="900"/>
                  <a:t>期别</a:t>
                </a:r>
                <a:endParaRPr altLang="en-US" sz="900"/>
              </a:p>
            </c:rich>
          </c:tx>
          <c:layout>
            <c:manualLayout>
              <c:xMode val="edge"/>
              <c:yMode val="edge"/>
              <c:x val="0.947350600981886"/>
              <c:y val="0.85234159779614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ysClr val="windowText" lastClr="000000">
                <a:lumMod val="15000"/>
                <a:lumOff val="85000"/>
              </a:sysClr>
            </a:solidFill>
            <a:round/>
          </a:ln>
          <a:effectLst/>
        </c:spPr>
        <c:txPr>
          <a:bodyPr rot="-2700000" spcFirstLastPara="0" vertOverflow="ellipsis" vert="horz" wrap="square" anchor="b" anchorCtr="1"/>
          <a:lstStyle/>
          <a:p>
            <a:pPr>
              <a:defRPr lang="zh-CN" sz="9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</a:p>
        </c:txPr>
        <c:crossAx val="86447803"/>
        <c:crosses val="autoZero"/>
        <c:auto val="1"/>
        <c:lblOffset val="100"/>
        <c:baseTimeUnit val="months"/>
      </c:dateAx>
      <c:valAx>
        <c:axId val="864478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ysClr val="window" lastClr="FFFFFF">
                  <a:lumMod val="90200"/>
                </a:sys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9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 sz="900"/>
                  <a:t>%</a:t>
                </a:r>
                <a:endParaRPr sz="900"/>
              </a:p>
            </c:rich>
          </c:tx>
          <c:layout>
            <c:manualLayout>
              <c:xMode val="edge"/>
              <c:yMode val="edge"/>
              <c:x val="0.0255546499421775"/>
              <c:y val="0.0529413170901646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</a:p>
        </c:txPr>
        <c:crossAx val="4976780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</a:p>
        </c:txPr>
      </c:legendEntry>
      <c:legendEntry>
        <c:idx val="2"/>
        <c:delete val="1"/>
      </c:legendEntry>
      <c:layout>
        <c:manualLayout>
          <c:xMode val="edge"/>
          <c:yMode val="edge"/>
          <c:x val="0.388870037326094"/>
          <c:y val="0.93891973750631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325f666-45e6-44d5-a0c6-b61a88bc3588}"/>
      </c:ext>
    </c:extLst>
  </c:chart>
  <c:spPr>
    <a:solidFill>
      <a:sysClr val="window" lastClr="FFFFFF"/>
    </a:solidFill>
    <a:ln w="9525" cap="flat" cmpd="sng" algn="ctr">
      <a:solidFill>
        <a:sysClr val="windowText" lastClr="000000">
          <a:lumMod val="15000"/>
          <a:lumOff val="85000"/>
        </a:sysClr>
      </a:solidFill>
      <a:round/>
    </a:ln>
    <a:effectLst/>
  </c:spPr>
  <c:txPr>
    <a:bodyPr/>
    <a:lstStyle/>
    <a:p>
      <a:pPr>
        <a:defRPr lang="zh-CN" sz="900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0" vertOverflow="ellipsis" vert="horz" wrap="square" anchor="b" anchorCtr="1" forceAA="0"/>
          <a:lstStyle/>
          <a:p>
            <a:pPr>
              <a:defRPr lang="zh-CN" sz="1600" b="1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lang="en-US" altLang="zh-CN" sz="1600" b="1" i="0" u="none" strike="noStrike" baseline="0">
                <a:solidFill>
                  <a:srgbClr val="333333"/>
                </a:solidFill>
                <a:latin typeface="微软雅黑" charset="0"/>
                <a:ea typeface="微软雅黑" charset="0"/>
                <a:cs typeface="微软雅黑" charset="0"/>
              </a:rPr>
              <a:t>2026</a:t>
            </a:r>
            <a:r>
              <a:rPr altLang="en-US" sz="1600" b="1" i="0" u="none" strike="noStrike" baseline="0">
                <a:solidFill>
                  <a:srgbClr val="333333"/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</a:rPr>
              <a:t>年</a:t>
            </a:r>
            <a:r>
              <a:rPr lang="en-US" altLang="zh-CN" sz="1600" b="1" i="0" u="none" strike="noStrike" baseline="0">
                <a:solidFill>
                  <a:srgbClr val="333333"/>
                </a:solidFill>
                <a:latin typeface="微软雅黑" charset="0"/>
                <a:ea typeface="微软雅黑" charset="0"/>
                <a:cs typeface="微软雅黑" charset="0"/>
              </a:rPr>
              <a:t>1—5</a:t>
            </a:r>
            <a:r>
              <a:rPr altLang="en-US" sz="1600" b="1" i="0" u="none" strike="noStrike" baseline="0">
                <a:solidFill>
                  <a:srgbClr val="333333"/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</a:rPr>
              <a:t>月份，规模以上工业企业</a:t>
            </a:r>
            <a:endParaRPr altLang="en-US" sz="1600" b="1" i="0" u="none" strike="noStrike" baseline="0">
              <a:solidFill>
                <a:srgbClr val="333333"/>
              </a:solidFill>
              <a:latin typeface="微软雅黑" panose="020B0503020204020204" charset="-122"/>
              <a:ea typeface="微软雅黑" panose="020B0503020204020204" charset="-122"/>
              <a:cs typeface="微软雅黑" panose="020B0503020204020204" charset="-122"/>
            </a:endParaRPr>
          </a:p>
          <a:p>
            <a:pPr>
              <a:defRPr lang="zh-CN" sz="1600" b="1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  <a:sym typeface="微软雅黑" panose="020B0503020204020204" charset="-122"/>
              </a:defRPr>
            </a:pPr>
            <a:r>
              <a:rPr altLang="en-US" sz="1600" b="1" i="0" u="none" strike="noStrike" baseline="0">
                <a:solidFill>
                  <a:srgbClr val="333333"/>
                </a:solidFill>
                <a:latin typeface="微软雅黑" panose="020B0503020204020204" charset="-122"/>
                <a:ea typeface="微软雅黑" panose="020B0503020204020204" charset="-122"/>
                <a:cs typeface="微软雅黑" panose="020B0503020204020204" charset="-122"/>
              </a:rPr>
              <a:t>能耗占比图</a:t>
            </a:r>
            <a:endParaRPr altLang="en-US" sz="1200" b="0" i="0" u="none" strike="noStrike" baseline="0">
              <a:solidFill>
                <a:srgbClr val="000000"/>
              </a:solidFill>
              <a:latin typeface="宋体" charset="-122"/>
              <a:ea typeface="宋体" charset="-122"/>
              <a:cs typeface="宋体" charset="-122"/>
            </a:endParaRPr>
          </a:p>
        </c:rich>
      </c:tx>
      <c:layout>
        <c:manualLayout>
          <c:xMode val="edge"/>
          <c:yMode val="edge"/>
          <c:x val="0.169767899727252"/>
          <c:y val="0.0282257611584744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9258655494023"/>
          <c:y val="0.13121614395065"/>
          <c:w val="0.772589448150394"/>
          <c:h val="0.846699158174568"/>
        </c:manualLayout>
      </c:layout>
      <c:pie3DChart>
        <c:varyColors val="1"/>
        <c:ser>
          <c:idx val="0"/>
          <c:order val="0"/>
          <c:spPr>
            <a:solidFill>
              <a:srgbClr val="ED7D31">
                <a:lumMod val="20000"/>
                <a:lumOff val="80000"/>
              </a:srgbClr>
            </a:solidFill>
            <a:ln w="25400">
              <a:solidFill>
                <a:sysClr val="window" lastClr="FFFFFF"/>
              </a:solidFill>
            </a:ln>
            <a:effectLst>
              <a:outerShdw blurRad="63500" sx="104000" sy="104000" algn="ctr" rotWithShape="0">
                <a:sysClr val="window" lastClr="FFFFFF">
                  <a:alpha val="33000"/>
                </a:sysClr>
              </a:outerShdw>
            </a:effectLst>
            <a:scene3d>
              <a:camera prst="orthographicFront"/>
              <a:lightRig rig="threePt" dir="t"/>
            </a:scene3d>
            <a:sp3d contourW="25400"/>
          </c:spPr>
          <c:explosion val="0"/>
          <c:dPt>
            <c:idx val="0"/>
            <c:bubble3D val="0"/>
            <c:explosion val="0"/>
            <c:spPr>
              <a:solidFill>
                <a:srgbClr val="ED7D31"/>
              </a:solidFill>
              <a:ln w="25400">
                <a:solidFill>
                  <a:sysClr val="window" lastClr="FFFFFF"/>
                </a:solidFill>
              </a:ln>
              <a:effectLst>
                <a:outerShdw blurRad="63500" sx="104000" sy="104000" algn="ctr" rotWithShape="0">
                  <a:sysClr val="window" lastClr="FFFFFF">
                    <a:alpha val="33000"/>
                  </a:sysClr>
                </a:outerShdw>
              </a:effectLst>
              <a:scene3d>
                <a:camera prst="orthographicFront"/>
                <a:lightRig rig="threePt" dir="t"/>
              </a:scene3d>
              <a:sp3d contourW="25400"/>
            </c:spPr>
          </c:dPt>
          <c:dPt>
            <c:idx val="1"/>
            <c:bubble3D val="0"/>
            <c:explosion val="0"/>
            <c:spPr>
              <a:solidFill>
                <a:srgbClr val="ED7D31">
                  <a:lumMod val="20000"/>
                  <a:lumOff val="80000"/>
                </a:srgbClr>
              </a:solidFill>
              <a:ln w="25400">
                <a:solidFill>
                  <a:sysClr val="window" lastClr="FFFFFF"/>
                </a:solidFill>
              </a:ln>
              <a:effectLst>
                <a:outerShdw blurRad="63500" sx="104000" sy="104000" algn="ctr" rotWithShape="0">
                  <a:sysClr val="window" lastClr="FFFFFF">
                    <a:alpha val="33000"/>
                  </a:sysClr>
                </a:outerShdw>
              </a:effectLst>
              <a:scene3d>
                <a:camera prst="orthographicFront"/>
                <a:lightRig rig="threePt" dir="t"/>
              </a:scene3d>
              <a:sp3d contourW="25400"/>
            </c:spPr>
          </c:dPt>
          <c:dPt>
            <c:idx val="2"/>
            <c:bubble3D val="0"/>
            <c:explosion val="0"/>
            <c:spPr>
              <a:solidFill>
                <a:srgbClr val="70AD47">
                  <a:lumMod val="60000"/>
                  <a:lumOff val="40000"/>
                </a:srgbClr>
              </a:solidFill>
              <a:ln w="25400">
                <a:solidFill>
                  <a:sysClr val="window" lastClr="FFFFFF"/>
                </a:solidFill>
              </a:ln>
              <a:effectLst>
                <a:outerShdw blurRad="63500" sx="104000" sy="104000" algn="ctr" rotWithShape="0">
                  <a:srgbClr val="DDEBF7">
                    <a:alpha val="33000"/>
                  </a:srgbClr>
                </a:outerShdw>
              </a:effectLst>
              <a:scene3d>
                <a:camera prst="orthographicFront"/>
                <a:lightRig rig="threePt" dir="t"/>
              </a:scene3d>
              <a:sp3d contourW="25400"/>
            </c:spPr>
          </c:dPt>
          <c:dPt>
            <c:idx val="3"/>
            <c:bubble3D val="0"/>
            <c:explosion val="0"/>
            <c:spPr>
              <a:solidFill>
                <a:srgbClr val="5B9BD5"/>
              </a:solidFill>
              <a:ln w="25400">
                <a:solidFill>
                  <a:sysClr val="window" lastClr="FFFFFF"/>
                </a:solidFill>
              </a:ln>
              <a:effectLst>
                <a:outerShdw blurRad="63500" sx="104000" sy="104000" algn="ctr" rotWithShape="0">
                  <a:sysClr val="window" lastClr="FFFFFF">
                    <a:alpha val="33000"/>
                  </a:sysClr>
                </a:outerShdw>
              </a:effectLst>
              <a:scene3d>
                <a:camera prst="orthographicFront"/>
                <a:lightRig rig="threePt" dir="t"/>
              </a:scene3d>
              <a:sp3d contourW="25400"/>
            </c:spPr>
          </c:dPt>
          <c:dLbls>
            <c:dLbl>
              <c:idx val="0"/>
              <c:layout>
                <c:manualLayout>
                  <c:x val="-0.222436189392008"/>
                  <c:y val="0.0412855116476418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 forceAA="0"/>
                <a:lstStyle/>
                <a:p>
                  <a:pPr>
                    <a:defRPr lang="zh-CN" sz="1000" b="1" i="0" u="none" strike="noStrike" kern="1200" baseline="0">
                      <a:ln w="12700" cmpd="sng">
                        <a:noFill/>
                        <a:prstDash val="solid"/>
                      </a:ln>
                      <a:solidFill>
                        <a:sysClr val="windowText" lastClr="000000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0.137503677610486"/>
                  <c:y val="-0.20478298313477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 forceAA="0"/>
                <a:lstStyle/>
                <a:p>
                  <a:pPr>
                    <a:defRPr lang="zh-CN" sz="1000" b="1" i="0" u="none" strike="noStrike" kern="1200" baseline="0">
                      <a:ln w="12700" cmpd="sng">
                        <a:noFill/>
                        <a:prstDash val="solid"/>
                      </a:ln>
                      <a:solidFill>
                        <a:sysClr val="windowText" lastClr="000000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213836074636308"/>
                  <c:y val="-0.200811514145788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 forceAA="0"/>
                <a:lstStyle/>
                <a:p>
                  <a:pPr>
                    <a:defRPr lang="zh-CN" sz="1000" b="1" i="0" u="none" strike="noStrike" kern="1200" baseline="0">
                      <a:ln w="12700" cmpd="sng">
                        <a:noFill/>
                        <a:prstDash val="solid"/>
                      </a:ln>
                      <a:solidFill>
                        <a:sysClr val="windowText" lastClr="000000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0242692457770827"/>
                  <c:y val="0.111840376020381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 forceAA="0"/>
                  <a:lstStyle/>
                  <a:p>
                    <a:pPr defTabSz="914400">
                      <a:defRPr lang="zh-CN" sz="1000" b="1" i="0" u="none" strike="noStrike" kern="1200" baseline="0">
                        <a:ln w="12700" cmpd="sng">
                          <a:noFill/>
                          <a:prstDash val="solid"/>
                        </a:ln>
                        <a:solidFill>
                          <a:sysClr val="windowText" lastClr="000000"/>
                        </a:solidFill>
                        <a:latin typeface="微软雅黑" panose="020B0503020204020204" charset="-122"/>
                        <a:ea typeface="微软雅黑" panose="020B0503020204020204" charset="-122"/>
                        <a:cs typeface="微软雅黑" panose="020B0503020204020204" charset="-122"/>
                        <a:sym typeface="微软雅黑" panose="020B0503020204020204" charset="-122"/>
                      </a:defRPr>
                    </a:pPr>
                    <a:r>
                      <a:t>汽柴油及润滑油1.7%</a:t>
                    </a:r>
                    <a:endParaRPr sz="1000" b="1" i="0" u="none" strike="noStrike" baseline="0">
                      <a:solidFill>
                        <a:srgbClr val="000000">
                          <a:alpha val="100000"/>
                        </a:srgbClr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</a:endParaRPr>
                  </a:p>
                </c:rich>
              </c:tx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0" vertOverflow="ellipsis" vert="horz" wrap="square" lIns="38100" tIns="19050" rIns="38100" bIns="19050" anchor="ctr" anchorCtr="1" forceAA="0"/>
                <a:lstStyle/>
                <a:p>
                  <a:pPr>
                    <a:defRPr lang="zh-CN" sz="1000" b="1" i="0" u="none" strike="noStrike" kern="1200" baseline="0">
                      <a:ln w="12700" cmpd="sng">
                        <a:noFill/>
                        <a:prstDash val="solid"/>
                      </a:ln>
                      <a:solidFill>
                        <a:sysClr val="windowText" lastClr="000000"/>
                      </a:solidFill>
                      <a:latin typeface="微软雅黑" panose="020B0503020204020204" charset="-122"/>
                      <a:ea typeface="微软雅黑" panose="020B0503020204020204" charset="-122"/>
                      <a:cs typeface="微软雅黑" panose="020B0503020204020204" charset="-122"/>
                      <a:sym typeface="微软雅黑" panose="020B0503020204020204" charset="-122"/>
                    </a:defRPr>
                  </a:pPr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 forceAA="0"/>
              <a:lstStyle/>
              <a:p>
                <a:pPr>
                  <a:defRPr lang="zh-CN" sz="1000" b="1" i="0" u="none" strike="noStrike" kern="1200" baseline="0">
                    <a:ln w="12700" cmpd="sng">
                      <a:noFill/>
                      <a:prstDash val="solid"/>
                    </a:ln>
                    <a:solidFill>
                      <a:sysClr val="windowText" lastClr="000000"/>
                    </a:solidFill>
                    <a:latin typeface="微软雅黑" panose="020B0503020204020204" charset="-122"/>
                    <a:ea typeface="微软雅黑" panose="020B0503020204020204" charset="-122"/>
                    <a:cs typeface="微软雅黑" panose="020B0503020204020204" charset="-122"/>
                    <a:sym typeface="微软雅黑" panose="020B0503020204020204" charset="-122"/>
                  </a:defRPr>
                </a:pPr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rgbClr val="969696">
                          <a:alpha val="100000"/>
                        </a:srgbClr>
                      </a:solidFill>
                      <a:prstDash val="solid"/>
                      <a:round/>
                    </a:ln>
                  </c:spPr>
                </c15:leaderLines>
              </c:ext>
            </c:extLst>
          </c:dLbls>
          <c:cat>
            <c:strRef>
              <c:f>[2026年1—5月规上工业.et]饼图!$B$21:$E$21</c:f>
              <c:strCache>
                <c:ptCount val="4"/>
                <c:pt idx="0" c:formatCode="0.00_);[Red]\(0.00\)">
                  <c:v>电力</c:v>
                </c:pt>
                <c:pt idx="1" c:formatCode="0.00_ ">
                  <c:v>生物质能（燃料）</c:v>
                </c:pt>
                <c:pt idx="2" c:formatCode="0.00_ ">
                  <c:v>原煤</c:v>
                </c:pt>
                <c:pt idx="3" c:formatCode="0.00_ ">
                  <c:v>汽柴油及润滑油</c:v>
                </c:pt>
              </c:strCache>
            </c:strRef>
          </c:cat>
          <c:val>
            <c:numRef>
              <c:f>[2026年1—5月规上工业.et]饼图!$B$22:$E$22</c:f>
              <c:numCache>
                <c:formatCode>0.00_ </c:formatCode>
                <c:ptCount val="4"/>
                <c:pt idx="0">
                  <c:v>38066.46837</c:v>
                </c:pt>
                <c:pt idx="1">
                  <c:v>5964.55</c:v>
                </c:pt>
                <c:pt idx="2">
                  <c:v>51408.828</c:v>
                </c:pt>
                <c:pt idx="3" c:formatCode="General">
                  <c:v>1136.331332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aeb2688e-49cd-4552-becd-a2d89b68edd6}"/>
      </c:ext>
    </c:extLst>
  </c:chart>
  <c:spPr>
    <a:solidFill>
      <a:sysClr val="window" lastClr="FFFFFF"/>
    </a:solidFill>
    <a:ln w="6350" cap="flat" cmpd="sng" algn="ctr">
      <a:solidFill>
        <a:sysClr val="windowText" lastClr="000000">
          <a:lumMod val="50000"/>
          <a:lumOff val="50000"/>
          <a:alpha val="25000"/>
        </a:sysClr>
      </a:solidFill>
      <a:prstDash val="solid"/>
      <a:round/>
    </a:ln>
    <a:effectLst>
      <a:outerShdw blurRad="63500" dist="37357" dir="2700000" sx="0" sy="0" rotWithShape="0">
        <a:scrgbClr r="0" g="0" b="0"/>
      </a:outerShdw>
    </a:effectLst>
  </c:spPr>
  <c:txPr>
    <a:bodyPr wrap="square"/>
    <a:lstStyle/>
    <a:p>
      <a:pPr>
        <a:defRPr lang="zh-CN">
          <a:latin typeface="微软雅黑" panose="020B0503020204020204" charset="-122"/>
          <a:ea typeface="微软雅黑" panose="020B0503020204020204" charset="-122"/>
          <a:cs typeface="微软雅黑" panose="020B0503020204020204" charset="-122"/>
          <a:sym typeface="微软雅黑" panose="020B050302020402020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34">
  <cs:axisTitle>
    <cs:lnRef idx="0"/>
    <cs:fillRef idx="0"/>
    <cs:effectRef idx="0"/>
    <cs:fontRef idx="minor">
      <a:sysClr val="windowText" lastClr="000000">
        <a:lumMod val="65000"/>
        <a:lumOff val="35000"/>
      </a:sysClr>
    </cs:fontRef>
    <cs:defRPr sz="1000" kern="1200"/>
  </cs:axisTitle>
  <cs:categoryAxis>
    <cs:lnRef idx="0"/>
    <cs:fillRef idx="0"/>
    <cs:effectRef idx="0"/>
    <cs:fontRef idx="minor">
      <a:sysClr val="windowText" lastClr="000000">
        <a:lumMod val="65000"/>
        <a:lumOff val="35000"/>
      </a:sysClr>
    </cs:fontRef>
    <cs:spPr>
      <a:ln w="9525" cap="flat" cmpd="sng" algn="ctr">
        <a:solidFill>
          <a:sysClr val="windowText" lastClr="000000">
            <a:lumMod val="15000"/>
            <a:lumOff val="85000"/>
          </a:sys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ysClr val="windowText" lastClr="000000"/>
    </cs:fontRef>
    <cs:spPr>
      <a:solidFill>
        <a:sysClr val="window" lastClr="FFFFFF">
          <a:lumMod val="96000"/>
        </a:sysClr>
      </a:solidFill>
      <a:ln w="9525" cap="flat" cmpd="sng" algn="ctr">
        <a:solidFill>
          <a:sysClr val="windowText" lastClr="000000">
            <a:lumMod val="15000"/>
            <a:lumOff val="85000"/>
          </a:sysClr>
        </a:solidFill>
        <a:round/>
      </a:ln>
    </cs:spPr>
    <cs:defRPr sz="1000" kern="1200"/>
  </cs:chartArea>
  <cs:dataLabel>
    <cs:lnRef idx="0"/>
    <cs:fillRef idx="0"/>
    <cs:effectRef idx="0"/>
    <cs:fontRef idx="minor">
      <a:sysClr val="windowText" lastClr="000000">
        <a:lumMod val="75000"/>
        <a:lumOff val="25000"/>
      </a:sysClr>
    </cs:fontRef>
    <cs:defRPr sz="1000" kern="1200"/>
  </cs:dataLabel>
  <cs:dataLabelCallout>
    <cs:lnRef idx="0"/>
    <cs:fillRef idx="0"/>
    <cs:effectRef idx="0"/>
    <cs:fontRef idx="minor">
      <a:sysClr val="windowText" lastClr="000000">
        <a:lumMod val="65000"/>
        <a:lumOff val="35000"/>
      </a:sysClr>
    </cs:fontRef>
    <cs:spPr>
      <a:solidFill>
        <a:sysClr val="window" lastClr="FFFFFF"/>
      </a:solidFill>
      <a:ln>
        <a:solidFill>
          <a:sysClr val="windowText" lastClr="000000">
            <a:lumMod val="25000"/>
            <a:lumOff val="75000"/>
          </a:sys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ysClr val="windowText" lastClr="000000"/>
    </cs:fontRef>
  </cs:dataPoint>
  <cs:dataPoint3D>
    <cs:lnRef idx="0"/>
    <cs:fillRef idx="1">
      <cs:styleClr val="auto"/>
    </cs:fillRef>
    <cs:effectRef idx="0"/>
    <cs:fontRef idx="minor">
      <a:sysClr val="windowText" lastClr="000000"/>
    </cs:fontRef>
  </cs:dataPoint3D>
  <cs:dataPointLine>
    <cs:lnRef idx="0">
      <cs:styleClr val="auto"/>
    </cs:lnRef>
    <cs:fillRef idx="0">
      <cs:styleClr val="auto"/>
    </cs:fillRef>
    <cs:effectRef idx="0">
      <cs:styleClr val="auto"/>
    </cs:effectRef>
    <cs:fontRef idx="minor">
      <a:sysClr val="windowText" lastClr="000000"/>
    </cs:fontRef>
    <cs:spPr>
      <a:ln w="28575" cap="rnd">
        <a:solidFill>
          <a:schemeClr val="phClr"/>
        </a:solidFill>
        <a:round/>
      </a:ln>
      <a:effectLst>
        <a:outerShdw blurRad="50800" dist="25400" dir="5400000" algn="t" rotWithShape="0">
          <a:schemeClr val="phClr">
            <a:lumMod val="50000"/>
            <a:alpha val="30000"/>
          </a:schemeClr>
        </a:outerShdw>
      </a:effectLst>
    </cs:spPr>
  </cs:dataPointLine>
  <cs:dataPointMarker>
    <cs:lnRef idx="0">
      <cs:styleClr val="auto"/>
    </cs:lnRef>
    <cs:fillRef idx="1">
      <cs:styleClr val="auto"/>
    </cs:fillRef>
    <cs:effectRef idx="0"/>
    <cs:fontRef idx="minor">
      <a:sysClr val="windowText" lastClr="000000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ysClr val="windowText" lastClr="000000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ysClr val="windowText" lastClr="000000">
        <a:lumMod val="65000"/>
        <a:lumOff val="35000"/>
      </a:sysClr>
    </cs:fontRef>
    <cs:spPr>
      <a:noFill/>
      <a:ln w="9525" cap="flat" cmpd="sng" algn="ctr">
        <a:solidFill>
          <a:sysClr val="windowText" lastClr="000000">
            <a:lumMod val="15000"/>
            <a:lumOff val="85000"/>
          </a:sysClr>
        </a:solidFill>
        <a:round/>
      </a:ln>
    </cs:spPr>
    <cs:defRPr sz="900" kern="1200"/>
  </cs:dataTable>
  <cs:downBar>
    <cs:lnRef idx="0"/>
    <cs:fillRef idx="0"/>
    <cs:effectRef idx="0"/>
    <cs:fontRef idx="minor">
      <a:sysClr val="windowText" lastClr="000000"/>
    </cs:fontRef>
    <cs:spPr>
      <a:solidFill>
        <a:sysClr val="windowText" lastClr="000000">
          <a:lumMod val="65000"/>
          <a:lumOff val="35000"/>
        </a:sysClr>
      </a:solidFill>
      <a:ln w="9525">
        <a:solidFill>
          <a:sysClr val="windowText" lastClr="000000">
            <a:lumMod val="65000"/>
            <a:lumOff val="35000"/>
          </a:sysClr>
        </a:solidFill>
      </a:ln>
    </cs:spPr>
  </cs:downBar>
  <cs:dropLine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35000"/>
            <a:lumOff val="65000"/>
          </a:sysClr>
        </a:solidFill>
        <a:round/>
      </a:ln>
    </cs:spPr>
  </cs:dropLine>
  <cs:errorBar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65000"/>
            <a:lumOff val="35000"/>
          </a:sysClr>
        </a:solidFill>
        <a:round/>
      </a:ln>
    </cs:spPr>
  </cs:errorBar>
  <cs:floor>
    <cs:lnRef idx="0"/>
    <cs:fillRef idx="0"/>
    <cs:effectRef idx="0"/>
    <cs:fontRef idx="minor">
      <a:sysClr val="windowText" lastClr="000000"/>
    </cs:fontRef>
    <cs:spPr>
      <a:noFill/>
      <a:ln>
        <a:noFill/>
      </a:ln>
    </cs:spPr>
  </cs:floor>
  <cs:gridlineMajor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" lastClr="FFFFFF">
            <a:lumMod val="90200"/>
          </a:sysClr>
        </a:solidFill>
        <a:round/>
      </a:ln>
    </cs:spPr>
  </cs:gridlineMajor>
  <cs:gridlineMinor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5000"/>
            <a:lumOff val="95000"/>
          </a:sysClr>
        </a:solidFill>
        <a:round/>
      </a:ln>
    </cs:spPr>
  </cs:gridlineMinor>
  <cs:hiLoLine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75000"/>
            <a:lumOff val="25000"/>
          </a:sysClr>
        </a:solidFill>
        <a:round/>
      </a:ln>
    </cs:spPr>
  </cs:hiLoLine>
  <cs:leaderLine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35000"/>
            <a:lumOff val="65000"/>
          </a:sysClr>
        </a:solidFill>
        <a:round/>
      </a:ln>
    </cs:spPr>
  </cs:leaderLine>
  <cs:legend>
    <cs:lnRef idx="0"/>
    <cs:fillRef idx="0"/>
    <cs:effectRef idx="0"/>
    <cs:fontRef idx="minor">
      <a:sysClr val="windowText" lastClr="000000">
        <a:lumMod val="65000"/>
        <a:lumOff val="35000"/>
      </a:sysClr>
    </cs:fontRef>
    <cs:defRPr sz="900" kern="1200"/>
  </cs:legend>
  <cs:plotArea mods="allowNoFillOverride allowNoLineOverride">
    <cs:lnRef idx="0"/>
    <cs:fillRef idx="0"/>
    <cs:effectRef idx="0"/>
    <cs:fontRef idx="minor">
      <a:sysClr val="windowText" lastClr="000000"/>
    </cs:fontRef>
  </cs:plotArea>
  <cs:plotArea3D mods="allowNoFillOverride allowNoLineOverride">
    <cs:lnRef idx="0"/>
    <cs:fillRef idx="0"/>
    <cs:effectRef idx="0"/>
    <cs:fontRef idx="minor">
      <a:sysClr val="windowText" lastClr="000000"/>
    </cs:fontRef>
  </cs:plotArea3D>
  <cs:seriesAxis>
    <cs:lnRef idx="0"/>
    <cs:fillRef idx="0"/>
    <cs:effectRef idx="0"/>
    <cs:fontRef idx="minor">
      <a:sysClr val="windowText" lastClr="000000">
        <a:lumMod val="65000"/>
        <a:lumOff val="35000"/>
      </a:sysClr>
    </cs:fontRef>
    <cs:defRPr sz="900" kern="1200"/>
  </cs:seriesAxis>
  <cs:seriesLine>
    <cs:lnRef idx="0"/>
    <cs:fillRef idx="0"/>
    <cs:effectRef idx="0"/>
    <cs:fontRef idx="minor">
      <a:sysClr val="windowText" lastClr="000000"/>
    </cs:fontRef>
    <cs:spPr>
      <a:ln w="9525" cap="flat" cmpd="sng" algn="ctr">
        <a:solidFill>
          <a:sysClr val="windowText" lastClr="000000">
            <a:lumMod val="35000"/>
            <a:lumOff val="65000"/>
          </a:sysClr>
        </a:solidFill>
        <a:round/>
      </a:ln>
    </cs:spPr>
  </cs:seriesLine>
  <cs:title>
    <cs:lnRef idx="0"/>
    <cs:fillRef idx="0"/>
    <cs:effectRef idx="0"/>
    <cs:fontRef idx="minor">
      <a:sysClr val="windowText" lastClr="000000">
        <a:lumMod val="75000"/>
        <a:lumOff val="25000"/>
      </a:sysClr>
    </cs:fontRef>
    <cs:defRPr sz="1400" b="1" kern="1200" baseline="0"/>
  </cs:title>
  <cs:trendline>
    <cs:lnRef idx="0">
      <cs:styleClr val="auto"/>
    </cs:lnRef>
    <cs:fillRef idx="0"/>
    <cs:effectRef idx="0"/>
    <cs:fontRef idx="minor">
      <a:sysClr val="windowText" lastClr="000000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ysClr val="windowText" lastClr="000000">
        <a:lumMod val="65000"/>
        <a:lumOff val="35000"/>
      </a:sysClr>
    </cs:fontRef>
    <cs:defRPr sz="900" kern="1200"/>
  </cs:trendlineLabel>
  <cs:upBar>
    <cs:lnRef idx="0"/>
    <cs:fillRef idx="0"/>
    <cs:effectRef idx="0"/>
    <cs:fontRef idx="minor">
      <a:sysClr val="windowText" lastClr="000000"/>
    </cs:fontRef>
    <cs:spPr>
      <a:solidFill>
        <a:sysClr val="window" lastClr="FFFFFF"/>
      </a:solidFill>
      <a:ln w="9525">
        <a:solidFill>
          <a:sysClr val="windowText" lastClr="000000">
            <a:lumMod val="15000"/>
            <a:lumOff val="85000"/>
          </a:sysClr>
        </a:solidFill>
      </a:ln>
    </cs:spPr>
  </cs:upBar>
  <cs:valueAxis>
    <cs:lnRef idx="0"/>
    <cs:fillRef idx="0"/>
    <cs:effectRef idx="0"/>
    <cs:fontRef idx="minor">
      <a:sysClr val="windowText" lastClr="000000">
        <a:lumMod val="65000"/>
        <a:lumOff val="35000"/>
      </a:sysClr>
    </cs:fontRef>
    <cs:defRPr sz="900" kern="1200"/>
  </cs:valueAxis>
  <cs:wall>
    <cs:lnRef idx="0"/>
    <cs:fillRef idx="0"/>
    <cs:effectRef idx="0"/>
    <cs:fontRef idx="minor">
      <a:sysClr val="windowText" lastClr="000000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WPS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874CB"/>
    </a:accent1>
    <a:accent2>
      <a:srgbClr val="EE822F"/>
    </a:accent2>
    <a:accent3>
      <a:srgbClr val="F2BA02"/>
    </a:accent3>
    <a:accent4>
      <a:srgbClr val="75BD42"/>
    </a:accent4>
    <a:accent5>
      <a:srgbClr val="30C0B4"/>
    </a:accent5>
    <a:accent6>
      <a:srgbClr val="E54C5E"/>
    </a:accent6>
    <a:hlink>
      <a:srgbClr val="0026E5"/>
    </a:hlink>
    <a:folHlink>
      <a:srgbClr val="7E1FAD"/>
    </a:folHlink>
  </a:clrScheme>
  <a:fontScheme name="WPS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WPS">
    <a:fillStyleLst>
      <a:solidFill>
        <a:schemeClr val="phClr"/>
      </a:solidFill>
      <a:gradFill>
        <a:gsLst>
          <a:gs pos="0">
            <a:schemeClr val="phClr">
              <a:lumOff val="17500"/>
            </a:schemeClr>
          </a:gs>
          <a:gs pos="100000">
            <a:schemeClr val="phClr"/>
          </a:gs>
        </a:gsLst>
        <a:lin ang="2700000" scaled="0"/>
      </a:gradFill>
      <a:gradFill>
        <a:gsLst>
          <a:gs pos="0">
            <a:schemeClr val="phClr">
              <a:hueOff val="-2520000"/>
            </a:schemeClr>
          </a:gs>
          <a:gs pos="100000">
            <a:schemeClr val="phClr"/>
          </a:gs>
        </a:gsLst>
        <a:lin ang="27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2700" cap="flat" cmpd="sng" algn="ctr">
        <a:gradFill>
          <a:gsLst>
            <a:gs pos="0">
              <a:schemeClr val="phClr">
                <a:hueOff val="-4200000"/>
              </a:schemeClr>
            </a:gs>
            <a:gs pos="100000">
              <a:schemeClr val="phClr"/>
            </a:gs>
          </a:gsLst>
          <a:lin ang="2700000" scaled="1"/>
        </a:gradFill>
        <a:prstDash val="solid"/>
        <a:miter lim="800000"/>
      </a:ln>
    </a:lnStyleLst>
    <a:effectStyleLst>
      <a:effectStyle>
        <a:effectLst>
          <a:outerShdw blurRad="101600" dist="50800" dir="5400000" algn="ctr" rotWithShape="0">
            <a:schemeClr val="phClr">
              <a:alpha val="60000"/>
            </a:schemeClr>
          </a:outerShdw>
        </a:effectLst>
      </a:effectStyle>
      <a:effectStyle>
        <a:effectLst>
          <a:reflection stA="50000" endA="300" endPos="40000" dist="25400" dir="5400000" sy="-100000" algn="bl" rotWithShape="0"/>
        </a:effectLst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自定义 27">
    <a:dk1>
      <a:srgbClr val="000000"/>
    </a:dk1>
    <a:lt1>
      <a:srgbClr val="FFFFFF"/>
    </a:lt1>
    <a:dk2>
      <a:srgbClr val="000000"/>
    </a:dk2>
    <a:lt2>
      <a:srgbClr val="FEFFFF"/>
    </a:lt2>
    <a:accent1>
      <a:srgbClr val="3B73FF"/>
    </a:accent1>
    <a:accent2>
      <a:srgbClr val="1DDC98"/>
    </a:accent2>
    <a:accent3>
      <a:srgbClr val="FFCC3E"/>
    </a:accent3>
    <a:accent4>
      <a:srgbClr val="FF7640"/>
    </a:accent4>
    <a:accent5>
      <a:srgbClr val="FC4242"/>
    </a:accent5>
    <a:accent6>
      <a:srgbClr val="A766FF"/>
    </a:accent6>
    <a:hlink>
      <a:srgbClr val="304FFE"/>
    </a:hlink>
    <a:folHlink>
      <a:srgbClr val="492067"/>
    </a:folHlink>
  </a:clrScheme>
  <a:fontScheme name="WPS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WPS">
    <a:fillStyleLst>
      <a:solidFill>
        <a:schemeClr val="phClr"/>
      </a:solidFill>
      <a:gradFill>
        <a:gsLst>
          <a:gs pos="0">
            <a:schemeClr val="phClr">
              <a:lumOff val="17500"/>
            </a:schemeClr>
          </a:gs>
          <a:gs pos="100000">
            <a:schemeClr val="phClr"/>
          </a:gs>
        </a:gsLst>
        <a:lin ang="2700000" scaled="0"/>
      </a:gradFill>
      <a:gradFill>
        <a:gsLst>
          <a:gs pos="0">
            <a:schemeClr val="phClr">
              <a:hueOff val="-2520000"/>
            </a:schemeClr>
          </a:gs>
          <a:gs pos="100000">
            <a:schemeClr val="phClr"/>
          </a:gs>
        </a:gsLst>
        <a:lin ang="27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2700" cap="flat" cmpd="sng" algn="ctr">
        <a:gradFill>
          <a:gsLst>
            <a:gs pos="0">
              <a:schemeClr val="phClr">
                <a:hueOff val="-4200000"/>
              </a:schemeClr>
            </a:gs>
            <a:gs pos="100000">
              <a:schemeClr val="phClr"/>
            </a:gs>
          </a:gsLst>
          <a:lin ang="2700000" scaled="1"/>
        </a:gradFill>
        <a:prstDash val="solid"/>
        <a:miter lim="800000"/>
      </a:ln>
    </a:lnStyleLst>
    <a:effectStyleLst>
      <a:effectStyle>
        <a:effectLst>
          <a:outerShdw blurRad="101600" dist="50800" dir="5400000" algn="ctr" rotWithShape="0">
            <a:schemeClr val="phClr">
              <a:alpha val="60000"/>
            </a:schemeClr>
          </a:outerShdw>
        </a:effectLst>
      </a:effectStyle>
      <a:effectStyle>
        <a:effectLst>
          <a:reflection stA="50000" endA="300" endPos="40000" dist="25400" dir="5400000" sy="-100000" algn="bl" rotWithShape="0"/>
        </a:effectLst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302</Words>
  <Characters>326</Characters>
  <TotalTime>0</TotalTime>
  <ScaleCrop>false</ScaleCrop>
  <LinksUpToDate>false</LinksUpToDate>
  <CharactersWithSpaces>455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2026-04-22T17:34:00Z</dcterms:created>
  <dc:creator>Apache POI</dc:creator>
  <cp:lastModifiedBy>xxxx</cp:lastModifiedBy>
  <dcterms:modified xsi:type="dcterms:W3CDTF">2026-06-29T10:10:51Z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eyJoZGlkIjoiY2Q5MDllZTdmNzRjMGUyNjA4NWY2ZjFiM2Y1MDQ4ZDUiLCJ1c2VySWQiOiIxMDcwNDIxNjQ5In0=</vt:lpwstr>
  </property>
  <property fmtid="{D5CDD505-2E9C-101B-9397-08002B2CF9AE}" pid="3" name="KSOProductBuildVer">
    <vt:lpwstr>2052-12.1.2.25882</vt:lpwstr>
  </property>
  <property fmtid="{D5CDD505-2E9C-101B-9397-08002B2CF9AE}" pid="4" name="ICV">
    <vt:lpwstr>A46E8F32BBF512A56E09186A2473CFF6_43</vt:lpwstr>
  </property>
</Properties>
</file>