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855F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3534" w:hanging="3534" w:hangingChars="800"/>
        <w:textAlignment w:val="auto"/>
        <w:rPr>
          <w:rFonts w:hint="eastAsia" w:ascii="宋体" w:hAnsi="宋体" w:cs="宋体"/>
          <w:b/>
          <w:bCs/>
          <w:kern w:val="0"/>
          <w:sz w:val="44"/>
          <w:szCs w:val="44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44"/>
          <w:szCs w:val="44"/>
        </w:rPr>
        <w:t>新</w:t>
      </w:r>
      <w:r>
        <w:rPr>
          <w:rFonts w:hint="eastAsia" w:ascii="宋体" w:hAnsi="宋体" w:cs="宋体"/>
          <w:b/>
          <w:bCs/>
          <w:kern w:val="0"/>
          <w:sz w:val="44"/>
          <w:szCs w:val="44"/>
          <w:lang w:val="en-US" w:eastAsia="zh-CN"/>
        </w:rPr>
        <w:t>巴尔虎右</w:t>
      </w:r>
      <w:r>
        <w:rPr>
          <w:rFonts w:hint="eastAsia" w:ascii="宋体" w:hAnsi="宋体" w:cs="宋体"/>
          <w:b/>
          <w:bCs/>
          <w:kern w:val="0"/>
          <w:sz w:val="44"/>
          <w:szCs w:val="44"/>
        </w:rPr>
        <w:t>旗司法局</w:t>
      </w:r>
      <w:r>
        <w:rPr>
          <w:rFonts w:hint="eastAsia" w:ascii="宋体" w:hAnsi="宋体" w:cs="宋体"/>
          <w:b/>
          <w:bCs/>
          <w:kern w:val="0"/>
          <w:sz w:val="44"/>
          <w:szCs w:val="44"/>
          <w:lang w:val="en-US" w:eastAsia="zh-CN"/>
        </w:rPr>
        <w:t>“信用+法律服务监管”实施方案</w:t>
      </w:r>
      <w:bookmarkStart w:id="0" w:name="_GoBack"/>
      <w:bookmarkEnd w:id="0"/>
    </w:p>
    <w:p w14:paraId="22C559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eastAsia="仿宋_GB2312"/>
          <w:sz w:val="32"/>
          <w:szCs w:val="32"/>
        </w:rPr>
      </w:pPr>
    </w:p>
    <w:p w14:paraId="544D73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加快推进全旗律师法律服务领域信用体系建设，充分发挥信用信息惠民生、暖民心的作用，营造让“诚信主体少跑腿”的信用环境，使诚信主体获得更多便利优惠的律师法律服务，旗司法局结合行业实际，制定本实施意见。</w:t>
      </w:r>
    </w:p>
    <w:p w14:paraId="6C7BF1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一、指导思想</w:t>
      </w:r>
    </w:p>
    <w:p w14:paraId="2BF5C3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深入贯彻习近平新时代中国特色社会主义思想，认真落实党中央、国务院决策部署和旗委、旗政府关于建立完善守信联合激励制度的有关规定，加快推进信息跨地区、跨部门互通共享，依法依规运用信用激励手段，扩大信用应用场景，让诚信主体享受到信用红利、提升公众的信用建设获得感，弘扬诚实守信的社会主义核心价值观，提升全社会文明程度。</w:t>
      </w:r>
    </w:p>
    <w:p w14:paraId="74827D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二、工作目标</w:t>
      </w:r>
    </w:p>
    <w:p w14:paraId="43A309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开展“信易+律师”守信激励工作，为诚信主体提供优质高效的律师法律服务，实现“信用越高，法律服务越优质高效”，构建以信用为基础的新型监管机制，营造诚实守信的良好氛围，推进全旗律师法律服务行业高质量发展。</w:t>
      </w:r>
    </w:p>
    <w:p w14:paraId="331055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三、工作措施</w:t>
      </w:r>
    </w:p>
    <w:p w14:paraId="327D38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充分发挥律师法律服务职能，推出绿色通道、上门服务、免费咨询与减免法律服务费、简化办理流程等激励措施，为守信主体提供优惠和便利的律师法律服务。</w:t>
      </w:r>
    </w:p>
    <w:p w14:paraId="35F16E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四、实施对象</w:t>
      </w:r>
    </w:p>
    <w:p w14:paraId="49D3E6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除符合经济困难标准和低收入家庭标准的人群外，对未成年人和70岁以上患有重大疾病的老年人，现役军人，烈士、因公牺牲军人，病故军人的家人，请求支付劳动报酬、工伤赔偿以及解决劳动保障，社会保障等事项的农民工，一线医务工作者，人民警察、社区工作者，志愿者等重点人群提出的法律股务申请，纳入“信易+律师法律服务”覆盖范围。</w:t>
      </w:r>
    </w:p>
    <w:p w14:paraId="349372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五、工作要求</w:t>
      </w:r>
    </w:p>
    <w:p w14:paraId="4C148E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1、加强组织领导。充分发挥“信易+律师”的重要意义，把其作为建设法律服务队伍，提升法律服务水平的重要举措，推进律师法律服务工作落到实处。</w:t>
      </w:r>
    </w:p>
    <w:p w14:paraId="52901E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2、加强宣传引导。充分利用各种形式积极宣传推广具有创新、特色的做法和经验，总结和挖掘联合激励典型案例，不断提高信用建设的影响力，共建共享诚实守信的社会环境。</w:t>
      </w:r>
    </w:p>
    <w:p w14:paraId="505AD2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1215E2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363692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440" w:firstLineChars="17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新巴尔虎右旗司法局</w:t>
      </w:r>
    </w:p>
    <w:p w14:paraId="599F14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760" w:firstLineChars="18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2025年9月5日</w:t>
      </w:r>
    </w:p>
    <w:sectPr>
      <w:pgSz w:w="11906" w:h="16838"/>
      <w:pgMar w:top="1440" w:right="1701" w:bottom="1440" w:left="1701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"/>
  </w:docVar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795</Words>
  <Characters>799</Characters>
  <Lines>0</Lines>
  <Paragraphs>0</Paragraphs>
  <TotalTime>0</TotalTime>
  <ScaleCrop>false</ScaleCrop>
  <LinksUpToDate>false</LinksUpToDate>
  <CharactersWithSpaces>799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2020-12-21T16:09:00Z</dcterms:created>
  <dc:creator>falu</dc:creator>
  <cp:lastModifiedBy>iPhone</cp:lastModifiedBy>
  <dcterms:modified xsi:type="dcterms:W3CDTF">2025-09-23T09:56:20Z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2052-12.32.1</vt:lpwstr>
  </property>
  <property fmtid="{D5CDD505-2E9C-101B-9397-08002B2CF9AE}" pid="3" name="ICV">
    <vt:lpwstr>E9755FF4CBE3452BA8A365B12C59AADD_13</vt:lpwstr>
  </property>
</Properties>
</file>